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mc:AlternateContent>
          <mc:Choice Requires="wps">
            <w:drawing>
              <wp:inline distT="0" distB="0" distL="0" distR="0">
                <wp:extent cx="5274310" cy="5876925"/>
                <wp:effectExtent l="0" t="0" r="0" b="9525"/>
                <wp:docPr id="21" name="AutoShape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274310" cy="5876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0" o:spid="_x0000_s1026" o:spt="1" style="height:462.75pt;width:415.3pt;" filled="f" stroked="f" coordsize="21600,21600" o:gfxdata="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">
                <v:fill on="f" focussize="0,0"/>
                <v:stroke on="f"/>
                <v:imagedata o:title=""/>
                <o:lock v:ext="edit" aspectratio="t"/>
                <w10:wrap type="none"/>
                <w10:anchorlock/>
              </v:rect>
            </w:pict>
          </mc:Fallback>
        </mc:AlternateContent>
      </w:r>
      <w:r>
        <w:rPr>
          <w:rFonts w:hint="eastAsia"/>
          <w:b/>
          <w:sz w:val="52"/>
          <w:szCs w:val="52"/>
        </w:rPr>
        <w:t>电子交易平台-投标清单转换工具操作手册</w:t>
      </w:r>
    </w:p>
    <w:p/>
    <w:p/>
    <w:p/>
    <w:p/>
    <w:p/>
    <w:p/>
    <w:p/>
    <w:p/>
    <w:p>
      <w:pPr>
        <w:pStyle w:val="2"/>
      </w:pPr>
      <w:r>
        <w:rPr>
          <w:rFonts w:hint="eastAsia"/>
        </w:rPr>
        <w:t>投标清单转换工具操作指南</w:t>
      </w:r>
      <w:bookmarkStart w:id="0" w:name="_Toc291075331"/>
      <w:bookmarkStart w:id="1" w:name="_Toc291075531"/>
      <w:bookmarkStart w:id="2" w:name="_Toc367655541"/>
      <w:bookmarkStart w:id="3" w:name="_Toc434845656"/>
      <w:bookmarkStart w:id="4" w:name="_Toc438459491"/>
    </w:p>
    <w:p>
      <w:pPr>
        <w:pStyle w:val="2"/>
      </w:pPr>
      <w:r>
        <w:rPr>
          <w:rFonts w:hint="eastAsia"/>
        </w:rPr>
        <w:t>一、环境要求</w:t>
      </w:r>
      <w:bookmarkEnd w:id="0"/>
      <w:bookmarkEnd w:id="1"/>
      <w:bookmarkEnd w:id="2"/>
      <w:bookmarkEnd w:id="3"/>
      <w:bookmarkEnd w:id="4"/>
    </w:p>
    <w:p>
      <w:r>
        <w:t>1</w:t>
      </w:r>
      <w:r>
        <w:rPr>
          <w:rFonts w:hint="eastAsia"/>
        </w:rPr>
        <w:t>、操作系统要求：</w:t>
      </w:r>
    </w:p>
    <w:p>
      <w:r>
        <w:t xml:space="preserve">Windows 2003/ XP /Vista/Win7 </w:t>
      </w:r>
      <w:r>
        <w:rPr>
          <w:rFonts w:hint="eastAsia"/>
        </w:rPr>
        <w:t>下均可运行，建议使用</w:t>
      </w:r>
      <w:r>
        <w:t>Win</w:t>
      </w:r>
      <w:r>
        <w:rPr>
          <w:rFonts w:hint="eastAsia"/>
        </w:rPr>
        <w:t xml:space="preserve"> 7版本。</w:t>
      </w:r>
    </w:p>
    <w:p>
      <w:r>
        <w:t>2</w:t>
      </w:r>
      <w:r>
        <w:rPr>
          <w:rFonts w:hint="eastAsia"/>
        </w:rPr>
        <w:t>、硬件要求：</w:t>
      </w:r>
    </w:p>
    <w:p>
      <w:r>
        <w:t>CPU</w:t>
      </w:r>
      <w:r>
        <w:rPr>
          <w:rFonts w:hint="eastAsia"/>
        </w:rPr>
        <w:t>：推荐使用</w:t>
      </w:r>
      <w:r>
        <w:t xml:space="preserve">P4 2.0 </w:t>
      </w:r>
      <w:r>
        <w:rPr>
          <w:rFonts w:hint="eastAsia"/>
        </w:rPr>
        <w:t>以上；</w:t>
      </w:r>
    </w:p>
    <w:p>
      <w:r>
        <w:rPr>
          <w:rFonts w:hint="eastAsia"/>
        </w:rPr>
        <w:t>内存：最低为</w:t>
      </w:r>
      <w:r>
        <w:t>64MB</w:t>
      </w:r>
      <w:r>
        <w:rPr>
          <w:rFonts w:hint="eastAsia"/>
        </w:rPr>
        <w:t>，推荐使用</w:t>
      </w:r>
      <w:r>
        <w:t xml:space="preserve">256MB </w:t>
      </w:r>
      <w:r>
        <w:rPr>
          <w:rFonts w:hint="eastAsia"/>
        </w:rPr>
        <w:t>以上；</w:t>
      </w:r>
    </w:p>
    <w:p>
      <w:r>
        <w:rPr>
          <w:rFonts w:hint="eastAsia"/>
        </w:rPr>
        <w:t>硬盘：最低为</w:t>
      </w:r>
      <w:r>
        <w:t>800MB</w:t>
      </w:r>
      <w:r>
        <w:rPr>
          <w:rFonts w:hint="eastAsia"/>
        </w:rPr>
        <w:t>，推荐使用</w:t>
      </w:r>
      <w:r>
        <w:t xml:space="preserve">1.5G </w:t>
      </w:r>
      <w:r>
        <w:rPr>
          <w:rFonts w:hint="eastAsia"/>
        </w:rPr>
        <w:t>以上；</w:t>
      </w:r>
    </w:p>
    <w:p>
      <w:r>
        <w:rPr>
          <w:rFonts w:hint="eastAsia"/>
        </w:rPr>
        <w:t>显示器：可选用</w:t>
      </w:r>
      <w:r>
        <w:t>VGA</w:t>
      </w:r>
      <w:r>
        <w:rPr>
          <w:rFonts w:hint="eastAsia"/>
        </w:rPr>
        <w:t>、</w:t>
      </w:r>
      <w:r>
        <w:t>SVGA</w:t>
      </w:r>
      <w:r>
        <w:rPr>
          <w:rFonts w:hint="eastAsia"/>
        </w:rPr>
        <w:t>、</w:t>
      </w:r>
      <w:r>
        <w:t xml:space="preserve">TVGA </w:t>
      </w:r>
      <w:r>
        <w:rPr>
          <w:rFonts w:hint="eastAsia"/>
        </w:rPr>
        <w:t>等彩色显示器，推荐使用</w:t>
      </w:r>
      <w:r>
        <w:t xml:space="preserve">17 </w:t>
      </w:r>
      <w:r>
        <w:rPr>
          <w:rFonts w:hint="eastAsia"/>
        </w:rPr>
        <w:t>寸彩显或液晶；</w:t>
      </w:r>
    </w:p>
    <w:p>
      <w:r>
        <w:t>3</w:t>
      </w:r>
      <w:r>
        <w:rPr>
          <w:rFonts w:hint="eastAsia"/>
        </w:rPr>
        <w:t>、辅助软件：</w:t>
      </w:r>
    </w:p>
    <w:p>
      <w:r>
        <w:rPr>
          <w:rFonts w:hint="eastAsia"/>
        </w:rPr>
        <w:t>微软</w:t>
      </w:r>
      <w:r>
        <w:t>Office</w:t>
      </w:r>
      <w:r>
        <w:rPr>
          <w:rFonts w:hint="eastAsia"/>
        </w:rPr>
        <w:t>2007或以上版本</w:t>
      </w:r>
      <w:r>
        <w:t>,</w:t>
      </w:r>
      <w:r>
        <w:rPr>
          <w:rFonts w:hint="eastAsia"/>
        </w:rPr>
        <w:t>若没有预先安装，则会影响到软件某些功能的正常使用（建议安装</w:t>
      </w:r>
      <w:r>
        <w:t>Office</w:t>
      </w:r>
      <w:r>
        <w:rPr>
          <w:rFonts w:hint="eastAsia"/>
        </w:rPr>
        <w:t>2010）。（注：WPS不能替代Office）</w:t>
      </w:r>
    </w:p>
    <w:p>
      <w:r>
        <w:t>4</w:t>
      </w:r>
      <w:r>
        <w:rPr>
          <w:rFonts w:hint="eastAsia"/>
        </w:rPr>
        <w:t>、建议屏幕分辨率用</w:t>
      </w:r>
      <w:r>
        <w:t>1024</w:t>
      </w:r>
      <w:r>
        <w:rPr>
          <w:rFonts w:hint="eastAsia"/>
        </w:rPr>
        <w:t>×</w:t>
      </w:r>
      <w:r>
        <w:t xml:space="preserve">768 </w:t>
      </w:r>
      <w:r>
        <w:rPr>
          <w:rFonts w:hint="eastAsia"/>
        </w:rPr>
        <w:t>像素。</w:t>
      </w:r>
    </w:p>
    <w:p/>
    <w:p>
      <w:pPr>
        <w:pStyle w:val="3"/>
      </w:pPr>
      <w:r>
        <w:rPr>
          <w:rFonts w:hint="eastAsia"/>
        </w:rPr>
        <w:t>二、新建投标项目</w:t>
      </w:r>
    </w:p>
    <w:p>
      <w:r>
        <w:drawing>
          <wp:inline distT="0" distB="0" distL="0" distR="0">
            <wp:extent cx="2609850" cy="2105025"/>
            <wp:effectExtent l="0" t="0" r="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3981450" cy="2028825"/>
            <wp:effectExtent l="0" t="0" r="0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64719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招标清单格式为：*eynzb或者eynzbx(使用最新版投标文件制作软件打开*hnzf的招标文件或者*hncf的澄清文件，然后从中导出)</w:t>
      </w:r>
    </w:p>
    <w:p>
      <w:pPr>
        <w:rPr>
          <w:b/>
          <w:color w:val="FF0000"/>
        </w:rPr>
      </w:pPr>
    </w:p>
    <w:p>
      <w:pPr>
        <w:rPr>
          <w:b/>
          <w:color w:val="FF0000"/>
        </w:rPr>
      </w:pPr>
      <w:r>
        <w:rPr>
          <w:rFonts w:hint="eastAsia"/>
          <w:b/>
          <w:color w:val="FF0000"/>
        </w:rPr>
        <w:t>编制控制价时生成清单类型选择“控制价”</w:t>
      </w:r>
    </w:p>
    <w:p>
      <w:r>
        <w:drawing>
          <wp:inline distT="0" distB="0" distL="0" distR="0">
            <wp:extent cx="5274310" cy="325818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7"/>
                    <a:srcRect t="4967" b="49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8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3"/>
      </w:pPr>
      <w:r>
        <w:rPr>
          <w:rFonts w:hint="eastAsia"/>
        </w:rPr>
        <w:t>三、导入投标excel清单</w:t>
      </w:r>
    </w:p>
    <w:p/>
    <w:p>
      <w:r>
        <w:drawing>
          <wp:inline distT="0" distB="0" distL="0" distR="0">
            <wp:extent cx="5267960" cy="3629025"/>
            <wp:effectExtent l="0" t="0" r="889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8"/>
                    <a:srcRect t="5016" b="5016"/>
                    <a:stretch>
                      <a:fillRect/>
                    </a:stretch>
                  </pic:blipFill>
                  <pic:spPr>
                    <a:xfrm>
                      <a:off x="0" y="0"/>
                      <a:ext cx="5268432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/>
    <w:p/>
    <w:p>
      <w:pPr>
        <w:jc w:val="left"/>
      </w:pPr>
      <w:r>
        <w:rPr>
          <w:rFonts w:hint="eastAsia"/>
        </w:rPr>
        <w:t>选择清单报表文件所在位置，选择对应的清单表，点击“打开”，开始对清单文件数据的属性进行调整。</w:t>
      </w:r>
      <w:r>
        <w:drawing>
          <wp:inline distT="0" distB="0" distL="0" distR="0">
            <wp:extent cx="5274310" cy="3706495"/>
            <wp:effectExtent l="0" t="0" r="254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6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  <w:r>
        <w:rPr>
          <w:rFonts w:hint="eastAsia"/>
        </w:rPr>
        <w:t>汇总表属性调整时，除了下图中的几项需要准确对应属性名称，其他需要显示在系统里的项都必须选择“</w:t>
      </w:r>
      <w:r>
        <w:rPr>
          <w:rFonts w:hint="eastAsia"/>
          <w:b/>
          <w:color w:val="FF0000"/>
        </w:rPr>
        <w:t>其他费用（不在工程造价内）</w:t>
      </w:r>
      <w:r>
        <w:rPr>
          <w:rFonts w:hint="eastAsia"/>
        </w:rPr>
        <w:t>”</w:t>
      </w:r>
      <w:r>
        <w:rPr>
          <w:rFonts w:hint="eastAsia"/>
          <w:color w:val="FF0000"/>
        </w:rPr>
        <w:t>以避免造价翻倍</w:t>
      </w:r>
      <w:r>
        <w:rPr>
          <w:rFonts w:hint="eastAsia"/>
        </w:rPr>
        <w:t>,不需要显示的均选择“</w:t>
      </w:r>
      <w:r>
        <w:rPr>
          <w:rFonts w:hint="eastAsia"/>
          <w:color w:val="FF0000"/>
        </w:rPr>
        <w:t>无效行</w:t>
      </w:r>
      <w:r>
        <w:rPr>
          <w:rFonts w:hint="eastAsia"/>
        </w:rPr>
        <w:t>”</w:t>
      </w:r>
      <w:r>
        <w:drawing>
          <wp:inline distT="0" distB="0" distL="0" distR="0">
            <wp:extent cx="5274310" cy="288480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</w:rPr>
      </w:pPr>
      <w:r>
        <w:rPr>
          <w:rFonts w:hint="eastAsia"/>
          <w:color w:val="FF0000"/>
        </w:rPr>
        <w:t>投标报价合计与控制价报价合计选择属性时均选择“</w:t>
      </w:r>
      <w:r>
        <w:rPr>
          <w:rFonts w:hint="eastAsia"/>
          <w:b/>
          <w:color w:val="FF0000"/>
        </w:rPr>
        <w:t>工程造价</w:t>
      </w:r>
      <w:r>
        <w:rPr>
          <w:rFonts w:hint="eastAsia"/>
          <w:color w:val="FF0000"/>
        </w:rPr>
        <w:t>”</w:t>
      </w:r>
    </w:p>
    <w:p>
      <w:pPr>
        <w:jc w:val="left"/>
      </w:pPr>
    </w:p>
    <w:p>
      <w:pPr>
        <w:jc w:val="left"/>
      </w:pPr>
      <w:r>
        <w:rPr>
          <w:rFonts w:hint="eastAsia"/>
        </w:rPr>
        <w:t>再以其他项目清单与计价汇总表为例演示：</w:t>
      </w:r>
    </w:p>
    <w:p>
      <w:pPr>
        <w:jc w:val="left"/>
      </w:pPr>
      <w:r>
        <w:drawing>
          <wp:inline distT="0" distB="0" distL="0" distR="0">
            <wp:extent cx="4981575" cy="4249420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88181" cy="4255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  <w:color w:val="FF0000"/>
        </w:rPr>
        <w:t>检查左侧系统识别出的属性类别是否与清单内容名称一致，不一致时需要手动调整一致</w:t>
      </w:r>
      <w:r>
        <w:rPr>
          <w:rFonts w:hint="eastAsia"/>
          <w:b/>
          <w:color w:val="FF0000"/>
        </w:rPr>
        <w:t>（每张表导入时都是如此，此步骤非常重要，务必对应准确，特别是总价措施和规费税金报表）</w:t>
      </w:r>
      <w:r>
        <w:rPr>
          <w:rFonts w:hint="eastAsia"/>
        </w:rPr>
        <w:t>，设置调整完成之后，点击导入数据按钮，如下图：</w:t>
      </w:r>
    </w:p>
    <w:p>
      <w:pPr>
        <w:jc w:val="left"/>
      </w:pPr>
      <w:r>
        <w:drawing>
          <wp:inline distT="0" distB="0" distL="0" distR="0">
            <wp:extent cx="5274310" cy="3358515"/>
            <wp:effectExtent l="0" t="0" r="2540" b="0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5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drawing>
          <wp:inline distT="0" distB="0" distL="0" distR="0">
            <wp:extent cx="5210175" cy="2962275"/>
            <wp:effectExtent l="0" t="0" r="9525" b="952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1157" cy="2962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致此完成其他项目清单计价汇总表的转换</w:t>
      </w:r>
    </w:p>
    <w:p>
      <w:r>
        <w:rPr>
          <w:rFonts w:hint="eastAsia"/>
        </w:rPr>
        <w:t>如下图所示，在获取到分部分项excel清单后，需要将无用的行设置成无效行（即删除）。界面正下方会显示该分部分项excel表格的总记录条数，有效行数和无效行数。设置完成之后，点击右下角导入数据按钮即可完成分部分项清单导入。</w:t>
      </w:r>
    </w:p>
    <w:p>
      <w:pPr>
        <w:rPr>
          <w:color w:val="FF0000"/>
        </w:rPr>
      </w:pPr>
      <w:r>
        <w:rPr>
          <w:rFonts w:hint="eastAsia"/>
          <w:color w:val="FF0000"/>
        </w:rPr>
        <w:t>注：系统会自动识别无效行和清单项，个别特殊的“不规范补充清单”行可能需要手动设置，请着重检查（如：CB001这种补充清单）。</w:t>
      </w:r>
    </w:p>
    <w:p>
      <w:pPr>
        <w:ind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同时清单里的分部标题需要手动设置为“</w:t>
      </w:r>
      <w:r>
        <w:rPr>
          <w:rFonts w:hint="eastAsia"/>
          <w:b/>
          <w:color w:val="FF0000"/>
          <w:sz w:val="24"/>
        </w:rPr>
        <w:t>清单标题</w:t>
      </w:r>
      <w:r>
        <w:rPr>
          <w:rFonts w:hint="eastAsia"/>
          <w:color w:val="FF0000"/>
          <w:sz w:val="24"/>
        </w:rPr>
        <w:t>”，最后一个清单标题“措施项目要手动调整为“</w:t>
      </w:r>
      <w:r>
        <w:rPr>
          <w:rFonts w:hint="eastAsia"/>
          <w:b/>
          <w:color w:val="FF0000"/>
          <w:sz w:val="24"/>
          <w:u w:val="single"/>
        </w:rPr>
        <w:t>无效行或者措施标题</w:t>
      </w:r>
      <w:r>
        <w:rPr>
          <w:rFonts w:hint="eastAsia"/>
          <w:color w:val="FF0000"/>
          <w:sz w:val="24"/>
        </w:rPr>
        <w:t>”，一定不能错误的选择为“</w:t>
      </w:r>
      <w:r>
        <w:rPr>
          <w:rFonts w:hint="eastAsia"/>
          <w:b/>
          <w:color w:val="FF0000"/>
          <w:sz w:val="24"/>
        </w:rPr>
        <w:t>清单标题</w:t>
      </w:r>
      <w:r>
        <w:rPr>
          <w:rFonts w:hint="eastAsia"/>
          <w:color w:val="FF0000"/>
          <w:sz w:val="24"/>
        </w:rPr>
        <w:t>”。</w:t>
      </w:r>
    </w:p>
    <w:p>
      <w:pPr>
        <w:rPr>
          <w:color w:val="FF0000"/>
        </w:rPr>
      </w:pPr>
    </w:p>
    <w:p>
      <w:pPr>
        <w:jc w:val="left"/>
      </w:pPr>
      <w:r>
        <w:drawing>
          <wp:inline distT="0" distB="0" distL="0" distR="0">
            <wp:extent cx="5274310" cy="34194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  <w:r>
        <w:rPr>
          <w:rFonts w:hint="eastAsia"/>
        </w:rPr>
        <w:t>将所有清单文件导入完成后开始投标清单文件的生成。</w:t>
      </w:r>
      <w:r>
        <w:drawing>
          <wp:inline distT="0" distB="0" distL="0" distR="0">
            <wp:extent cx="5272405" cy="2971800"/>
            <wp:effectExtent l="0" t="0" r="444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color w:val="FF0000"/>
          <w:sz w:val="24"/>
        </w:rPr>
      </w:pPr>
    </w:p>
    <w:p>
      <w:pPr>
        <w:ind w:firstLine="482"/>
        <w:rPr>
          <w:color w:val="FF0000"/>
          <w:sz w:val="24"/>
        </w:rPr>
      </w:pPr>
      <w:r>
        <w:rPr>
          <w:rFonts w:hint="eastAsia"/>
          <w:b/>
          <w:color w:val="FF0000"/>
          <w:sz w:val="24"/>
        </w:rPr>
        <w:t>特别说明</w:t>
      </w:r>
      <w:r>
        <w:rPr>
          <w:rFonts w:hint="eastAsia"/>
          <w:color w:val="FF0000"/>
          <w:sz w:val="24"/>
        </w:rPr>
        <w:t>：所有Excel导入之前都需要查看是否有合并单元格的情况存在，必须保证报表表头上方的字母一个字母对应一列数据</w:t>
      </w:r>
    </w:p>
    <w:p>
      <w:pPr>
        <w:pStyle w:val="3"/>
      </w:pPr>
      <w:r>
        <w:rPr>
          <w:rFonts w:hint="eastAsia"/>
        </w:rPr>
        <w:t>四、生成电子投标清单</w:t>
      </w:r>
    </w:p>
    <w:p>
      <w:pPr>
        <w:jc w:val="left"/>
      </w:pPr>
      <w:r>
        <w:rPr>
          <w:rFonts w:hint="eastAsia"/>
        </w:rPr>
        <w:t>选择生成文件所要存放的路径，最后生成电子格式的投标清单文件。</w:t>
      </w:r>
      <w:r>
        <w:drawing>
          <wp:inline distT="0" distB="0" distL="0" distR="0">
            <wp:extent cx="5372100" cy="2257425"/>
            <wp:effectExtent l="0" t="0" r="0" b="952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70183" cy="2256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至此，投标清单文件成功</w:t>
      </w:r>
    </w:p>
    <w:p>
      <w:pPr>
        <w:jc w:val="left"/>
      </w:pPr>
      <w:r>
        <w:rPr>
          <w:rFonts w:hint="eastAsia"/>
        </w:rPr>
        <w:t>注：08定额投标文件为eyntb     16定额投标文件为eyntbx，可根据招标清单格式选择相对应的投标清单转换工具</w:t>
      </w:r>
    </w:p>
    <w:p>
      <w:pPr>
        <w:jc w:val="left"/>
        <w:rPr>
          <w:b/>
          <w:color w:val="FF0000"/>
        </w:rPr>
      </w:pPr>
    </w:p>
    <w:p>
      <w:pPr>
        <w:jc w:val="left"/>
        <w:rPr>
          <w:b/>
          <w:color w:val="FF0000"/>
        </w:rPr>
      </w:pPr>
      <w:r>
        <w:rPr>
          <w:rFonts w:hint="eastAsia"/>
          <w:b/>
          <w:color w:val="FF0000"/>
        </w:rPr>
        <w:t>分部分项和单价措施清单综合单价分析表表格示例：</w:t>
      </w:r>
    </w:p>
    <w:tbl>
      <w:tblPr>
        <w:tblStyle w:val="7"/>
        <w:tblW w:w="8237" w:type="dxa"/>
        <w:tblInd w:w="9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0"/>
        <w:gridCol w:w="649"/>
        <w:gridCol w:w="709"/>
        <w:gridCol w:w="709"/>
        <w:gridCol w:w="425"/>
        <w:gridCol w:w="425"/>
        <w:gridCol w:w="851"/>
        <w:gridCol w:w="850"/>
        <w:gridCol w:w="851"/>
        <w:gridCol w:w="850"/>
        <w:gridCol w:w="709"/>
        <w:gridCol w:w="709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237" w:type="dxa"/>
            <w:gridSpan w:val="1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楷体_GB2312" w:hAnsi="宋体" w:eastAsia="楷体_GB2312" w:cs="宋体"/>
                <w:b/>
                <w:bCs/>
                <w:color w:val="000000"/>
                <w:kern w:val="0"/>
                <w:sz w:val="30"/>
                <w:szCs w:val="30"/>
              </w:rPr>
            </w:pPr>
            <w:r>
              <w:rPr>
                <w:rFonts w:hint="eastAsia" w:ascii="楷体_GB2312" w:hAnsi="宋体" w:eastAsia="楷体_GB2312" w:cs="宋体"/>
                <w:b/>
                <w:bCs/>
                <w:color w:val="000000"/>
                <w:kern w:val="0"/>
                <w:sz w:val="30"/>
                <w:szCs w:val="30"/>
              </w:rPr>
              <w:t>分部分项和单价措施清单综合单价分析表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8237" w:type="dxa"/>
            <w:gridSpan w:val="12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left"/>
              <w:rPr>
                <w:rFonts w:ascii="楷体_GB2312" w:hAnsi="宋体" w:eastAsia="楷体_GB2312" w:cs="宋体"/>
                <w:b/>
                <w:bCs/>
                <w:color w:val="000000"/>
                <w:kern w:val="0"/>
                <w:sz w:val="30"/>
                <w:szCs w:val="3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8237" w:type="dxa"/>
            <w:gridSpan w:val="12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工程名称:                          标段:                           第1页 共1页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5" w:hRule="atLeast"/>
        </w:trPr>
        <w:tc>
          <w:tcPr>
            <w:tcW w:w="500" w:type="dxa"/>
            <w:vMerge w:val="restart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序号</w:t>
            </w:r>
          </w:p>
        </w:tc>
        <w:tc>
          <w:tcPr>
            <w:tcW w:w="64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项目编码</w:t>
            </w:r>
          </w:p>
        </w:tc>
        <w:tc>
          <w:tcPr>
            <w:tcW w:w="7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数量</w:t>
            </w:r>
          </w:p>
        </w:tc>
        <w:tc>
          <w:tcPr>
            <w:tcW w:w="4111" w:type="dxa"/>
            <w:gridSpan w:val="5"/>
            <w:tcBorders>
              <w:top w:val="single" w:color="auto" w:sz="12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综 合 单 价 组 成(元)</w:t>
            </w:r>
          </w:p>
        </w:tc>
        <w:tc>
          <w:tcPr>
            <w:tcW w:w="70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综合单价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500" w:type="dxa"/>
            <w:vMerge w:val="continue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4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42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人工费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材料费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机械费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管理费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黑体" w:hAnsi="黑体" w:eastAsia="黑体" w:cs="宋体"/>
                <w:color w:val="000000"/>
                <w:kern w:val="0"/>
                <w:sz w:val="20"/>
                <w:szCs w:val="20"/>
              </w:rPr>
              <w:t>利润</w:t>
            </w:r>
          </w:p>
        </w:tc>
        <w:tc>
          <w:tcPr>
            <w:tcW w:w="70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黑体" w:hAnsi="黑体" w:eastAsia="黑体" w:cs="宋体"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55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清单编码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清单名称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0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清单编码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清单名称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8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定额编号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子目名称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</w:tcPr>
          <w:p>
            <w:pPr>
              <w:jc w:val="center"/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&amp;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00" w:type="dxa"/>
            <w:tcBorders>
              <w:top w:val="nil"/>
              <w:left w:val="single" w:color="auto" w:sz="12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64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textDirection w:val="tbRlV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...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　</w:t>
            </w:r>
          </w:p>
        </w:tc>
        <w:tc>
          <w:tcPr>
            <w:tcW w:w="42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4" w:space="0"/>
              <w:right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right"/>
              <w:rPr>
                <w:rFonts w:ascii="宋体" w:hAnsi="宋体" w:eastAsia="宋体" w:cs="宋体"/>
                <w:color w:val="0000FF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FF"/>
                <w:kern w:val="0"/>
                <w:sz w:val="20"/>
                <w:szCs w:val="20"/>
              </w:rPr>
              <w:t>　</w:t>
            </w:r>
          </w:p>
        </w:tc>
      </w:tr>
    </w:tbl>
    <w:p>
      <w:pPr>
        <w:jc w:val="left"/>
        <w:rPr>
          <w:color w:val="FF0000"/>
        </w:rPr>
      </w:pPr>
      <w:r>
        <w:rPr>
          <w:rFonts w:hint="eastAsia"/>
          <w:color w:val="FF0000"/>
        </w:rPr>
        <w:t>人材机+管理费利润=综合单价</w:t>
      </w:r>
    </w:p>
    <w:p>
      <w:pPr>
        <w:jc w:val="left"/>
      </w:pPr>
    </w:p>
    <w:p>
      <w:pPr>
        <w:jc w:val="left"/>
      </w:pPr>
      <w:bookmarkStart w:id="5" w:name="_GoBack"/>
      <w:bookmarkEnd w:id="5"/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17145</wp:posOffset>
                </wp:positionV>
                <wp:extent cx="5448300" cy="1057275"/>
                <wp:effectExtent l="0" t="0" r="0" b="9525"/>
                <wp:wrapNone/>
                <wp:docPr id="2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48300" cy="1057275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before="120" w:after="120"/>
                              <w:rPr>
                                <w:rFonts w:hint="default" w:eastAsiaTheme="minorEastAsia"/>
                                <w:sz w:val="28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本地技术支持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 xml:space="preserve">:18538786662 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ab/>
                              <w:t>13160133107</w:t>
                            </w:r>
                          </w:p>
                          <w:p>
                            <w:pPr>
                              <w:spacing w:before="120" w:after="12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服务时间</w:t>
                            </w:r>
                            <w:r>
                              <w:rPr>
                                <w:rFonts w:hint="eastAsia"/>
                                <w:sz w:val="28"/>
                                <w:szCs w:val="28"/>
                              </w:rPr>
                              <w:t>:每周工作日8:00-12:00,  14:00-18:00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1.5pt;margin-top:1.35pt;height:83.25pt;width:429pt;z-index:251659264;mso-width-relative:page;mso-height-relative:page;" fillcolor="#C0C0C0" filled="t" stroked="f" coordsize="21600,21600" o:gfxdata="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ZX1Wi9UAAAAHAQAADwAAAAAAAAABACAAAAAiAAAAZHJzL2Rvd25y&#10;ZXYueG1sUEsBAhQAFAAAAAgAh07iQNF35+oBAgAA8QMAAA4AAAAAAAAAAQAgAAAAJAEAAGRycy9l&#10;Mm9Eb2MueG1sUEsFBgAAAAAGAAYAWQEAAJc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spacing w:before="120" w:after="120"/>
                        <w:rPr>
                          <w:rFonts w:hint="default" w:eastAsiaTheme="minorEastAsia"/>
                          <w:sz w:val="28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本地技术支持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 xml:space="preserve">:18538786662 </w:t>
                      </w: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ab/>
                        <w:t>13160133107</w:t>
                      </w:r>
                    </w:p>
                    <w:p>
                      <w:pPr>
                        <w:spacing w:before="120" w:after="12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  <w:szCs w:val="28"/>
                        </w:rPr>
                        <w:t>服务时间</w:t>
                      </w:r>
                      <w:r>
                        <w:rPr>
                          <w:rFonts w:hint="eastAsia"/>
                          <w:sz w:val="28"/>
                          <w:szCs w:val="28"/>
                        </w:rPr>
                        <w:t>:每周工作日8:00-12:00,  14:00-18:00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</w:pPr>
    </w:p>
    <w:p>
      <w:pPr>
        <w:jc w:val="left"/>
      </w:pPr>
    </w:p>
    <w:p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621"/>
    <w:rsid w:val="000042A3"/>
    <w:rsid w:val="00104276"/>
    <w:rsid w:val="001752C0"/>
    <w:rsid w:val="001B2878"/>
    <w:rsid w:val="00215875"/>
    <w:rsid w:val="002C2BA5"/>
    <w:rsid w:val="002F6ADC"/>
    <w:rsid w:val="003C5FA7"/>
    <w:rsid w:val="003F22C2"/>
    <w:rsid w:val="003F3455"/>
    <w:rsid w:val="00552E36"/>
    <w:rsid w:val="00583343"/>
    <w:rsid w:val="005A14AC"/>
    <w:rsid w:val="005C4A88"/>
    <w:rsid w:val="00603D00"/>
    <w:rsid w:val="00610230"/>
    <w:rsid w:val="006434C5"/>
    <w:rsid w:val="00665808"/>
    <w:rsid w:val="007931FD"/>
    <w:rsid w:val="00846513"/>
    <w:rsid w:val="008A30E8"/>
    <w:rsid w:val="00973122"/>
    <w:rsid w:val="009B7FF6"/>
    <w:rsid w:val="00A02736"/>
    <w:rsid w:val="00A64908"/>
    <w:rsid w:val="00B264C2"/>
    <w:rsid w:val="00B65B0B"/>
    <w:rsid w:val="00BC60DA"/>
    <w:rsid w:val="00C3281B"/>
    <w:rsid w:val="00C91753"/>
    <w:rsid w:val="00C928ED"/>
    <w:rsid w:val="00CC266D"/>
    <w:rsid w:val="00CE3B6E"/>
    <w:rsid w:val="00D16912"/>
    <w:rsid w:val="00D917EA"/>
    <w:rsid w:val="00DF202F"/>
    <w:rsid w:val="00E346E8"/>
    <w:rsid w:val="00E403B1"/>
    <w:rsid w:val="00E611C3"/>
    <w:rsid w:val="00E82DC9"/>
    <w:rsid w:val="00F1189B"/>
    <w:rsid w:val="00F55621"/>
    <w:rsid w:val="00F5590D"/>
    <w:rsid w:val="00F87328"/>
    <w:rsid w:val="34692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3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标题 2 Char"/>
    <w:basedOn w:val="8"/>
    <w:link w:val="2"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0">
    <w:name w:val="标题 3 Char"/>
    <w:basedOn w:val="8"/>
    <w:link w:val="3"/>
    <w:uiPriority w:val="9"/>
    <w:rPr>
      <w:b/>
      <w:bCs/>
      <w:sz w:val="32"/>
      <w:szCs w:val="32"/>
    </w:rPr>
  </w:style>
  <w:style w:type="character" w:customStyle="1" w:styleId="11">
    <w:name w:val="批注框文本 Char"/>
    <w:basedOn w:val="8"/>
    <w:link w:val="4"/>
    <w:semiHidden/>
    <w:uiPriority w:val="99"/>
    <w:rPr>
      <w:sz w:val="18"/>
      <w:szCs w:val="18"/>
    </w:rPr>
  </w:style>
  <w:style w:type="character" w:customStyle="1" w:styleId="12">
    <w:name w:val="页眉 Char"/>
    <w:basedOn w:val="8"/>
    <w:link w:val="6"/>
    <w:uiPriority w:val="99"/>
    <w:rPr>
      <w:sz w:val="18"/>
      <w:szCs w:val="18"/>
    </w:rPr>
  </w:style>
  <w:style w:type="character" w:customStyle="1" w:styleId="13">
    <w:name w:val="页脚 Char"/>
    <w:basedOn w:val="8"/>
    <w:link w:val="5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shouzhuanapp.cn</Company>
  <Pages>9</Pages>
  <Words>248</Words>
  <Characters>1415</Characters>
  <Lines>11</Lines>
  <Paragraphs>3</Paragraphs>
  <TotalTime>119</TotalTime>
  <ScaleCrop>false</ScaleCrop>
  <LinksUpToDate>false</LinksUpToDate>
  <CharactersWithSpaces>1660</CharactersWithSpaces>
  <Application>WPS Office_11.1.0.8696_F1E327BC-269C-435d-A152-05C5408002CA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2015-11-18T01:20:00Z</dcterms:created>
  <dc:creator>NTKO</dc:creator>
  <cp:lastModifiedBy>NTKO</cp:lastModifiedBy>
  <dcterms:modified xsi:type="dcterms:W3CDTF">2019-06-21T07:34:19Z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